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3F5CF" w14:textId="77777777" w:rsidR="0057264B" w:rsidRPr="0057264B" w:rsidRDefault="00AD5114" w:rsidP="0057264B">
      <w:pPr>
        <w:spacing w:after="480"/>
        <w:outlineLvl w:val="0"/>
        <w:rPr>
          <w:rFonts w:ascii="News Gothic Std" w:hAnsi="News Gothic Std"/>
          <w:color w:val="808080" w:themeColor="background1" w:themeShade="80"/>
          <w:sz w:val="32"/>
          <w:szCs w:val="56"/>
        </w:rPr>
      </w:pPr>
      <w:r w:rsidRPr="00AD5114">
        <w:rPr>
          <w:rFonts w:ascii="News Gothic Std" w:hAnsi="News Gothic Std"/>
          <w:b/>
          <w:sz w:val="36"/>
          <w:szCs w:val="56"/>
        </w:rPr>
        <w:t>The Changing Electricity System: NY REV Discussion and Implications</w:t>
      </w:r>
      <w:r w:rsidR="00040A87">
        <w:rPr>
          <w:rFonts w:ascii="News Gothic Std" w:hAnsi="News Gothic Std"/>
          <w:b/>
          <w:sz w:val="36"/>
          <w:szCs w:val="56"/>
        </w:rPr>
        <w:br/>
      </w:r>
      <w:r w:rsidR="002F4DD0" w:rsidRPr="000B77B4">
        <w:rPr>
          <w:rFonts w:ascii="News Gothic Std" w:hAnsi="News Gothic Std"/>
          <w:color w:val="AD0101" w:themeColor="accent1"/>
          <w:sz w:val="32"/>
          <w:szCs w:val="56"/>
        </w:rPr>
        <w:t>Stanford Graduate School of Business</w:t>
      </w:r>
      <w:r w:rsidR="0057264B">
        <w:rPr>
          <w:rFonts w:ascii="News Gothic Std" w:hAnsi="News Gothic Std"/>
          <w:color w:val="808080" w:themeColor="background1" w:themeShade="80"/>
          <w:sz w:val="32"/>
          <w:szCs w:val="56"/>
        </w:rPr>
        <w:br/>
      </w:r>
      <w:r w:rsidR="0057264B">
        <w:rPr>
          <w:rFonts w:ascii="News Gothic Std" w:hAnsi="News Gothic Std"/>
          <w:color w:val="808080" w:themeColor="background1" w:themeShade="80"/>
          <w:sz w:val="32"/>
          <w:szCs w:val="56"/>
        </w:rPr>
        <w:br/>
      </w:r>
      <w:r w:rsidR="0057264B" w:rsidRPr="0057264B">
        <w:rPr>
          <w:rFonts w:ascii="NewsGoth BT Roman" w:hAnsi="NewsGoth BT Roman" w:cs="Times New Roman"/>
          <w:sz w:val="22"/>
          <w:szCs w:val="22"/>
        </w:rPr>
        <w:t>Organizers: Stephen Comello, Director, Sustainable Energy Initiative, Stanford Graduate School of Business, and Dian Grueneich, Senior Research Scholar, Precourt Institute for Energy and Shultz-Stephenson Energy Policy Task Force, Hoover Institution</w:t>
      </w:r>
    </w:p>
    <w:p w14:paraId="3799B1BC" w14:textId="77777777" w:rsidR="0057264B" w:rsidRDefault="0057264B" w:rsidP="00AD5114">
      <w:pPr>
        <w:rPr>
          <w:rFonts w:ascii="NewsGoth BT Roman" w:hAnsi="NewsGoth BT Roman" w:cs="Times New Roman"/>
          <w:sz w:val="22"/>
          <w:szCs w:val="22"/>
        </w:rPr>
      </w:pPr>
    </w:p>
    <w:p w14:paraId="1E44413B"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On October 26, 2016, the Sustainable Energy Initiative at Stanford Graduate School of Business hosted another of its Energy Dialogues</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this one titled </w:t>
      </w:r>
      <w:r w:rsidR="00984BC9">
        <w:rPr>
          <w:rFonts w:ascii="NewsGoth BT Roman" w:hAnsi="NewsGoth BT Roman" w:cs="Times New Roman"/>
          <w:sz w:val="22"/>
          <w:szCs w:val="22"/>
        </w:rPr>
        <w:t>“</w:t>
      </w:r>
      <w:r w:rsidRPr="00CA2E51">
        <w:rPr>
          <w:rFonts w:ascii="NewsGoth BT Roman" w:hAnsi="NewsGoth BT Roman" w:cs="Times New Roman"/>
          <w:sz w:val="22"/>
          <w:szCs w:val="22"/>
        </w:rPr>
        <w:t>The Changing Electricity System: NY REV Discussion and Implications.</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About 15 individuals, including faculty, students, and representatives of utilities, regulators, investors, and energy technology companies</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attended this facilitated roundtable gathering. The Energy Dialogue welcomed Rudy Stegemoeller, Special Assistant for Energy Policy, New York Public Service Commission (retired), and lead author on NY REV, as a key discussant. In advance of the event, Mr. Stegemoeller prepared a document on NY REV that was circulated beforehand to all attendees to set the context for meeting. The goals of the day were to examine the opportunities and challenges facing utility reform specifically in the state of New York, and then discuss implications for similar actions occurring worldwide.</w:t>
      </w:r>
    </w:p>
    <w:p w14:paraId="3B87364C" w14:textId="77777777" w:rsidR="00AD5114" w:rsidRPr="00CA2E51" w:rsidRDefault="00AD5114" w:rsidP="006A0AAF">
      <w:pPr>
        <w:rPr>
          <w:rFonts w:ascii="NewsGoth BT Roman" w:hAnsi="NewsGoth BT Roman" w:cs="Times New Roman"/>
          <w:sz w:val="22"/>
          <w:szCs w:val="22"/>
        </w:rPr>
      </w:pPr>
    </w:p>
    <w:p w14:paraId="4D3ACE7C"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 xml:space="preserve">Launched by New York Governor Andrew M. Cuomo in 2014, Reforming the Energy Vision (NY REV) aims to restructure the utility market into a system in which the existing municipal and investor-owned utilities (IOUs) host and coordinate a wide range of third-party distributed energy resources (DERs) on the grid. Currently in New York, while commodity provision by IOUs is deregulated, utilities continue an exclusive monopoly to own transmission and distribution grids. </w:t>
      </w:r>
      <w:r>
        <w:rPr>
          <w:rFonts w:ascii="NewsGoth BT Roman" w:hAnsi="NewsGoth BT Roman" w:cs="Times New Roman"/>
          <w:sz w:val="22"/>
          <w:szCs w:val="22"/>
        </w:rPr>
        <w:t xml:space="preserve">Moreover, </w:t>
      </w:r>
      <w:r w:rsidRPr="00CA2E51">
        <w:rPr>
          <w:rFonts w:ascii="NewsGoth BT Roman" w:hAnsi="NewsGoth BT Roman" w:cs="Times New Roman"/>
          <w:sz w:val="22"/>
          <w:szCs w:val="22"/>
        </w:rPr>
        <w:t>utilities have an exclusive monopoly on the planning and operation of their respective distribution systems, which is of material consequence to the economic viability of DERs.</w:t>
      </w:r>
      <w:r w:rsidRPr="00CA2E51">
        <w:rPr>
          <w:rStyle w:val="FootnoteReference"/>
          <w:rFonts w:ascii="NewsGoth BT Roman" w:hAnsi="NewsGoth BT Roman" w:cs="Times New Roman"/>
          <w:sz w:val="22"/>
          <w:szCs w:val="22"/>
        </w:rPr>
        <w:footnoteReference w:id="1"/>
      </w:r>
      <w:r w:rsidRPr="00CA2E51">
        <w:rPr>
          <w:rFonts w:ascii="NewsGoth BT Roman" w:hAnsi="NewsGoth BT Roman" w:cs="Times New Roman"/>
          <w:sz w:val="22"/>
          <w:szCs w:val="22"/>
        </w:rPr>
        <w:t xml:space="preserve"> In contrast, NY policymakers envision restructuring the grid </w:t>
      </w:r>
      <w:r w:rsidR="001041B5">
        <w:rPr>
          <w:rFonts w:ascii="NewsGoth BT Roman" w:hAnsi="NewsGoth BT Roman" w:cs="Times New Roman"/>
          <w:sz w:val="22"/>
          <w:szCs w:val="22"/>
        </w:rPr>
        <w:t>to</w:t>
      </w:r>
      <w:r w:rsidRPr="00CA2E51">
        <w:rPr>
          <w:rFonts w:ascii="NewsGoth BT Roman" w:hAnsi="NewsGoth BT Roman" w:cs="Times New Roman"/>
          <w:sz w:val="22"/>
          <w:szCs w:val="22"/>
        </w:rPr>
        <w:t xml:space="preserve"> provide a platform for both utilities and third-party solution providers to offer services. The platform will handle both supply of electricity and management of loads. This new architecture aspires to unlock competition and innovation, and ultimately benefit the environment, the grid, and customer energy bills. However, NY REV will require immense changes to how utilities currently conduct business and how</w:t>
      </w:r>
      <w:r w:rsidR="006A0AAF">
        <w:rPr>
          <w:rFonts w:ascii="NewsGoth BT Roman" w:hAnsi="NewsGoth BT Roman" w:cs="Times New Roman"/>
          <w:sz w:val="22"/>
          <w:szCs w:val="22"/>
        </w:rPr>
        <w:t xml:space="preserve"> the physical grid is operated.</w:t>
      </w:r>
    </w:p>
    <w:p w14:paraId="641052D2" w14:textId="77777777" w:rsidR="00AD5114" w:rsidRPr="00CA2E51" w:rsidRDefault="00AD5114" w:rsidP="00AD5114">
      <w:pPr>
        <w:rPr>
          <w:rFonts w:ascii="NewsGoth BT Roman" w:hAnsi="NewsGoth BT Roman" w:cs="Times New Roman"/>
          <w:sz w:val="22"/>
          <w:szCs w:val="22"/>
        </w:rPr>
      </w:pPr>
    </w:p>
    <w:p w14:paraId="61463215"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The following summary highlights some of the main ideas discussed. This conference adhered to the Chatham House Rule, so this summary does not attribute any statement to any individual or organization.</w:t>
      </w:r>
    </w:p>
    <w:p w14:paraId="5CFC29C4" w14:textId="77777777" w:rsidR="00AD5114" w:rsidRPr="00CA2E51" w:rsidRDefault="00AD5114" w:rsidP="00AD5114">
      <w:pPr>
        <w:rPr>
          <w:rFonts w:ascii="NewsGoth BT Roman" w:hAnsi="NewsGoth BT Roman" w:cs="Times New Roman"/>
          <w:sz w:val="22"/>
          <w:szCs w:val="22"/>
        </w:rPr>
      </w:pPr>
    </w:p>
    <w:p w14:paraId="50DB31BF" w14:textId="77777777" w:rsidR="00AD5114" w:rsidRPr="00CA2E51" w:rsidRDefault="00A62C0F" w:rsidP="00AD5114">
      <w:pPr>
        <w:rPr>
          <w:rFonts w:ascii="NewsGoth BT Roman" w:hAnsi="NewsGoth BT Roman" w:cs="Times New Roman"/>
          <w:sz w:val="22"/>
          <w:szCs w:val="22"/>
        </w:rPr>
      </w:pPr>
      <w:r w:rsidRPr="0057264B">
        <w:rPr>
          <w:rFonts w:ascii="NewsGoth BT Roman" w:hAnsi="NewsGoth BT Roman" w:cs="Times New Roman"/>
          <w:b/>
          <w:sz w:val="22"/>
          <w:szCs w:val="22"/>
        </w:rPr>
        <w:t>ALIGNING INCENTIVES AND ROLES</w:t>
      </w:r>
      <w:r>
        <w:rPr>
          <w:rFonts w:ascii="NewsGoth BT Roman" w:hAnsi="NewsGoth BT Roman" w:cs="Times New Roman"/>
          <w:sz w:val="22"/>
          <w:szCs w:val="22"/>
        </w:rPr>
        <w:br/>
      </w:r>
      <w:r w:rsidR="00AD5114" w:rsidRPr="00CA2E51">
        <w:rPr>
          <w:rFonts w:ascii="NewsGoth BT Roman" w:hAnsi="NewsGoth BT Roman" w:cs="Times New Roman"/>
          <w:sz w:val="22"/>
          <w:szCs w:val="22"/>
        </w:rPr>
        <w:t>All agreed that the traditional utility business model must be updated to support the changing grid and enhanced roles by new stakeholders (e.g., DER providers, engaged consumers, etc.).</w:t>
      </w:r>
      <w:r w:rsidR="006A0AAF">
        <w:rPr>
          <w:rFonts w:ascii="NewsGoth BT Roman" w:hAnsi="NewsGoth BT Roman" w:cs="Times New Roman"/>
          <w:sz w:val="22"/>
          <w:szCs w:val="22"/>
        </w:rPr>
        <w:t xml:space="preserve"> </w:t>
      </w:r>
      <w:r w:rsidR="00AD5114" w:rsidRPr="00CA2E51">
        <w:rPr>
          <w:rFonts w:ascii="NewsGoth BT Roman" w:hAnsi="NewsGoth BT Roman" w:cs="Times New Roman"/>
          <w:sz w:val="22"/>
          <w:szCs w:val="22"/>
        </w:rPr>
        <w:t xml:space="preserve">However, the notion that utility business model reform is a slow-moving process that will require years to accomplish was emphasized repeatedly. Some participants asserted that one reason why the process is so time-consuming is that in many instances, the </w:t>
      </w:r>
      <w:r w:rsidR="00AD5114" w:rsidRPr="00CA2E51">
        <w:rPr>
          <w:rFonts w:ascii="NewsGoth BT Roman" w:hAnsi="NewsGoth BT Roman" w:cs="Times New Roman"/>
          <w:sz w:val="22"/>
          <w:szCs w:val="22"/>
        </w:rPr>
        <w:lastRenderedPageBreak/>
        <w:t>incumbent utilities are slow to cooperate. Participants discussed, as an example, the matter of interconnection of third-party vendor products (e.g., rooftop PVs, charging stations, etc.) to the utilities’ existing systems. A vendor wanting to connect its products to a utility requires information, such as technical and engineering data, from the utility in order to request interconnection as well as know the best locations for its products. Yet, some noted, most utilities currently have little incentive to supply such information, since interconnection with DERs has the potential to significantly alter expected revenue and utilities are most comfortable planning operation of sys</w:t>
      </w:r>
      <w:r w:rsidR="006A0AAF">
        <w:rPr>
          <w:rFonts w:ascii="NewsGoth BT Roman" w:hAnsi="NewsGoth BT Roman" w:cs="Times New Roman"/>
          <w:sz w:val="22"/>
          <w:szCs w:val="22"/>
        </w:rPr>
        <w:t>tems under their sole control.</w:t>
      </w:r>
    </w:p>
    <w:p w14:paraId="04105BA9" w14:textId="77777777" w:rsidR="00AD5114" w:rsidRPr="00CA2E51" w:rsidRDefault="00AD5114" w:rsidP="00AD5114">
      <w:pPr>
        <w:rPr>
          <w:rFonts w:ascii="NewsGoth BT Roman" w:hAnsi="NewsGoth BT Roman" w:cs="Times New Roman"/>
          <w:sz w:val="22"/>
          <w:szCs w:val="22"/>
        </w:rPr>
      </w:pPr>
    </w:p>
    <w:p w14:paraId="02990BC2"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 xml:space="preserve">At the same time, others added that since utilities bear the obligation of ensuring reliability irrespective of circumstance, they are necessarily conservative. “If something goes wrong, </w:t>
      </w:r>
      <w:r w:rsidR="00984BC9">
        <w:rPr>
          <w:rFonts w:ascii="NewsGoth BT Roman" w:hAnsi="NewsGoth BT Roman" w:cs="Times New Roman"/>
          <w:sz w:val="22"/>
          <w:szCs w:val="22"/>
        </w:rPr>
        <w:t>[</w:t>
      </w:r>
      <w:r w:rsidRPr="00CA2E51">
        <w:rPr>
          <w:rFonts w:ascii="NewsGoth BT Roman" w:hAnsi="NewsGoth BT Roman" w:cs="Times New Roman"/>
          <w:sz w:val="22"/>
          <w:szCs w:val="22"/>
        </w:rPr>
        <w:t>the utilities</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get blamed,” one participant said, adding that it is not a third-party vendor but rather the utility that ends up “in front of the TV cameras” to explain a blackout. Additionally, if a utility cites “safety” as a concern or a reason not to proceed with a proposal, regulators are reluctant to overrule the utility’s position, given the technical expertise held by the utility.</w:t>
      </w:r>
      <w:r w:rsidR="006A0AAF">
        <w:rPr>
          <w:rFonts w:ascii="NewsGoth BT Roman" w:hAnsi="NewsGoth BT Roman" w:cs="Times New Roman"/>
          <w:sz w:val="22"/>
          <w:szCs w:val="22"/>
        </w:rPr>
        <w:t xml:space="preserve"> </w:t>
      </w:r>
      <w:r w:rsidRPr="00CA2E51">
        <w:rPr>
          <w:rFonts w:ascii="NewsGoth BT Roman" w:hAnsi="NewsGoth BT Roman" w:cs="Times New Roman"/>
          <w:sz w:val="22"/>
          <w:szCs w:val="22"/>
        </w:rPr>
        <w:t xml:space="preserve">Participants agreed that regulators “have to fix the incentives and get [utilities] aligned” but did not conclude with specific </w:t>
      </w:r>
      <w:r w:rsidR="006A0AAF">
        <w:rPr>
          <w:rFonts w:ascii="NewsGoth BT Roman" w:hAnsi="NewsGoth BT Roman" w:cs="Times New Roman"/>
          <w:sz w:val="22"/>
          <w:szCs w:val="22"/>
        </w:rPr>
        <w:t>recommendations for doing so.</w:t>
      </w:r>
    </w:p>
    <w:p w14:paraId="4464CF25" w14:textId="77777777" w:rsidR="00AD5114" w:rsidRPr="00CA2E51" w:rsidRDefault="00AD5114" w:rsidP="00AD5114">
      <w:pPr>
        <w:rPr>
          <w:rFonts w:ascii="NewsGoth BT Roman" w:hAnsi="NewsGoth BT Roman" w:cs="Times New Roman"/>
          <w:sz w:val="22"/>
          <w:szCs w:val="22"/>
        </w:rPr>
      </w:pPr>
    </w:p>
    <w:p w14:paraId="6A6B84B9"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 xml:space="preserve">Further discussion led to a participant inquiring if regulators can force a utility to provide data to third parties or otherwise cooperate to facilitate interconnection. Responses noted that there might be major differences in regulatory treatment depending upon the nature of the data. For example, customer usage and other load data has significant privacy protections under many state laws, whereas utility distribution planning information is generally not subject to such legal constraints, yet may be not be readily accessible in amenable formats even to the utility itself. </w:t>
      </w:r>
      <w:r w:rsidR="001041B5">
        <w:rPr>
          <w:rFonts w:ascii="NewsGoth BT Roman" w:hAnsi="NewsGoth BT Roman" w:cs="Times New Roman"/>
          <w:sz w:val="22"/>
          <w:szCs w:val="22"/>
        </w:rPr>
        <w:t>I</w:t>
      </w:r>
      <w:r w:rsidRPr="00CA2E51">
        <w:rPr>
          <w:rFonts w:ascii="NewsGoth BT Roman" w:hAnsi="NewsGoth BT Roman" w:cs="Times New Roman"/>
          <w:sz w:val="22"/>
          <w:szCs w:val="22"/>
        </w:rPr>
        <w:t xml:space="preserve">t has been only a relatively recent phenomenon where utilities – even </w:t>
      </w:r>
      <w:r w:rsidR="001041B5">
        <w:rPr>
          <w:rFonts w:ascii="NewsGoth BT Roman" w:hAnsi="NewsGoth BT Roman" w:cs="Times New Roman"/>
          <w:sz w:val="22"/>
          <w:szCs w:val="22"/>
        </w:rPr>
        <w:t>those with</w:t>
      </w:r>
      <w:r w:rsidR="001041B5" w:rsidRPr="00CA2E51">
        <w:rPr>
          <w:rFonts w:ascii="NewsGoth BT Roman" w:hAnsi="NewsGoth BT Roman" w:cs="Times New Roman"/>
          <w:sz w:val="22"/>
          <w:szCs w:val="22"/>
        </w:rPr>
        <w:t xml:space="preserve"> </w:t>
      </w:r>
      <w:r w:rsidRPr="00CA2E51">
        <w:rPr>
          <w:rFonts w:ascii="NewsGoth BT Roman" w:hAnsi="NewsGoth BT Roman" w:cs="Times New Roman"/>
          <w:sz w:val="22"/>
          <w:szCs w:val="22"/>
        </w:rPr>
        <w:t>the capability in the first place to acquire high</w:t>
      </w:r>
      <w:r w:rsidR="001041B5">
        <w:rPr>
          <w:rFonts w:ascii="NewsGoth BT Roman" w:hAnsi="NewsGoth BT Roman" w:cs="Times New Roman"/>
          <w:sz w:val="22"/>
          <w:szCs w:val="22"/>
        </w:rPr>
        <w:t>-</w:t>
      </w:r>
      <w:r w:rsidRPr="00CA2E51">
        <w:rPr>
          <w:rFonts w:ascii="NewsGoth BT Roman" w:hAnsi="NewsGoth BT Roman" w:cs="Times New Roman"/>
          <w:sz w:val="22"/>
          <w:szCs w:val="22"/>
        </w:rPr>
        <w:t>fidelity data from the customer</w:t>
      </w:r>
      <w:r w:rsidR="006A0AAF">
        <w:rPr>
          <w:rFonts w:ascii="NewsGoth BT Roman" w:hAnsi="NewsGoth BT Roman" w:cs="Times New Roman"/>
          <w:sz w:val="22"/>
          <w:szCs w:val="22"/>
        </w:rPr>
        <w:t xml:space="preserve"> </w:t>
      </w:r>
      <w:r w:rsidRPr="00CA2E51">
        <w:rPr>
          <w:rFonts w:ascii="NewsGoth BT Roman" w:hAnsi="NewsGoth BT Roman" w:cs="Times New Roman"/>
          <w:sz w:val="22"/>
          <w:szCs w:val="22"/>
        </w:rPr>
        <w:t>– have attempted to make sense of such information. Solution providers are keen to have access to types of customer data</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as this could significantly enhance the value proposition of their products. As one participant noted</w:t>
      </w:r>
      <w:r w:rsidR="00984BC9">
        <w:rPr>
          <w:rFonts w:ascii="NewsGoth BT Roman" w:hAnsi="NewsGoth BT Roman" w:cs="Times New Roman"/>
          <w:sz w:val="22"/>
          <w:szCs w:val="22"/>
        </w:rPr>
        <w:t>,</w:t>
      </w:r>
      <w:r w:rsidRPr="00CA2E51">
        <w:rPr>
          <w:rFonts w:ascii="NewsGoth BT Roman" w:hAnsi="NewsGoth BT Roman" w:cs="Times New Roman"/>
          <w:sz w:val="22"/>
          <w:szCs w:val="22"/>
        </w:rPr>
        <w:t xml:space="preserve"> “</w:t>
      </w:r>
      <w:r w:rsidR="00984BC9">
        <w:rPr>
          <w:rFonts w:ascii="NewsGoth BT Roman" w:hAnsi="NewsGoth BT Roman" w:cs="Times New Roman"/>
          <w:sz w:val="22"/>
          <w:szCs w:val="22"/>
        </w:rPr>
        <w:t>T</w:t>
      </w:r>
      <w:r w:rsidRPr="00CA2E51">
        <w:rPr>
          <w:rFonts w:ascii="NewsGoth BT Roman" w:hAnsi="NewsGoth BT Roman" w:cs="Times New Roman"/>
          <w:sz w:val="22"/>
          <w:szCs w:val="22"/>
        </w:rPr>
        <w:t>he customer must have a need for the data and then it can be monetized.” While non-utility solution providers are eager to access “utility data</w:t>
      </w:r>
      <w:r w:rsidR="00931EF5">
        <w:rPr>
          <w:rFonts w:ascii="NewsGoth BT Roman" w:hAnsi="NewsGoth BT Roman" w:cs="Times New Roman"/>
          <w:sz w:val="22"/>
          <w:szCs w:val="22"/>
        </w:rPr>
        <w:t>,</w:t>
      </w:r>
      <w:r w:rsidRPr="00CA2E51">
        <w:rPr>
          <w:rFonts w:ascii="NewsGoth BT Roman" w:hAnsi="NewsGoth BT Roman" w:cs="Times New Roman"/>
          <w:sz w:val="22"/>
          <w:szCs w:val="22"/>
        </w:rPr>
        <w:t>” there remain gaps concerning what is amenable for sharing, with whom, in what format</w:t>
      </w:r>
      <w:r w:rsidR="001041B5">
        <w:rPr>
          <w:rFonts w:ascii="NewsGoth BT Roman" w:hAnsi="NewsGoth BT Roman" w:cs="Times New Roman"/>
          <w:sz w:val="22"/>
          <w:szCs w:val="22"/>
        </w:rPr>
        <w:t>,</w:t>
      </w:r>
      <w:r w:rsidRPr="00CA2E51">
        <w:rPr>
          <w:rFonts w:ascii="NewsGoth BT Roman" w:hAnsi="NewsGoth BT Roman" w:cs="Times New Roman"/>
          <w:sz w:val="22"/>
          <w:szCs w:val="22"/>
        </w:rPr>
        <w:t xml:space="preserve"> and at what price/cost (if any). The workshop participants also discussed the need to “clean up” large data sets for use by multiple stakeholders; it remains an open question that this responsibili</w:t>
      </w:r>
      <w:r w:rsidR="006A0AAF">
        <w:rPr>
          <w:rFonts w:ascii="NewsGoth BT Roman" w:hAnsi="NewsGoth BT Roman" w:cs="Times New Roman"/>
          <w:sz w:val="22"/>
          <w:szCs w:val="22"/>
        </w:rPr>
        <w:t>ty should fall to the utility.</w:t>
      </w:r>
    </w:p>
    <w:p w14:paraId="39CFAC96" w14:textId="77777777" w:rsidR="00AD5114" w:rsidRPr="00CA2E51" w:rsidRDefault="00AD5114" w:rsidP="00AD5114">
      <w:pPr>
        <w:rPr>
          <w:rFonts w:ascii="NewsGoth BT Roman" w:hAnsi="NewsGoth BT Roman" w:cs="Times New Roman"/>
          <w:sz w:val="22"/>
          <w:szCs w:val="22"/>
        </w:rPr>
      </w:pPr>
    </w:p>
    <w:p w14:paraId="6F1CC83D" w14:textId="77777777" w:rsidR="00AD5114" w:rsidRPr="00CA2E51" w:rsidRDefault="00AD5114" w:rsidP="00AD5114">
      <w:pPr>
        <w:rPr>
          <w:rFonts w:ascii="NewsGoth BT Roman" w:hAnsi="NewsGoth BT Roman" w:cs="Times New Roman"/>
          <w:sz w:val="22"/>
          <w:szCs w:val="22"/>
        </w:rPr>
      </w:pPr>
      <w:r w:rsidRPr="00AD5114">
        <w:rPr>
          <w:rFonts w:ascii="NewsGoth BT Roman" w:hAnsi="NewsGoth BT Roman" w:cs="Times New Roman"/>
          <w:b/>
          <w:sz w:val="22"/>
          <w:szCs w:val="22"/>
        </w:rPr>
        <w:t>SETTING PRIORITIES</w:t>
      </w:r>
      <w:r>
        <w:rPr>
          <w:rFonts w:ascii="NewsGoth BT Roman" w:hAnsi="NewsGoth BT Roman" w:cs="Times New Roman"/>
          <w:sz w:val="22"/>
          <w:szCs w:val="22"/>
        </w:rPr>
        <w:br/>
      </w:r>
      <w:r w:rsidRPr="00CA2E51">
        <w:rPr>
          <w:rFonts w:ascii="NewsGoth BT Roman" w:hAnsi="NewsGoth BT Roman" w:cs="Times New Roman"/>
          <w:sz w:val="22"/>
          <w:szCs w:val="22"/>
        </w:rPr>
        <w:t>Several individuals questioned whether NY REV stakeholders, including third-party vendors, utilities, environmentalists, consumers, and regulators, have identified and, perhaps more importantly, prioritized the goals of the reform effort especially where there are tradeoffs among the goals. The most frequently cited NY REV goals include carbon reduction, increased innovation, increased robustness especially in a natural disaster, energy efficiency, distributed generation, demand response, and reduced energy bills for the customer. Some participants asked if regulators and other stakeholders have sufficiently considered how distributed generation can “benefit the consumer and not just move wealth from pocket to another.” People “have different impressions of what’s the purpose of NY REV” but ultimately any reform must benefit the customer, said one participant. Participants generally agreed that a key lesson from NY REV is the establishment of clear priorities at the outset of any regulatory reform process. Further, tradeoffs among priorities across stakeholders must be identified as early as possible, coupled with a mechanism to solicit proposals to address such tradeoffs. Finally, evaluation of proposals must be judged against success in achieving priorities identified as having the greatest importance.</w:t>
      </w:r>
    </w:p>
    <w:p w14:paraId="3E3AAC85" w14:textId="77777777" w:rsidR="00AD5114" w:rsidRPr="00CA2E51" w:rsidRDefault="00AD5114" w:rsidP="00AD5114">
      <w:pPr>
        <w:rPr>
          <w:rFonts w:ascii="NewsGoth BT Roman" w:hAnsi="NewsGoth BT Roman" w:cs="Times New Roman"/>
          <w:sz w:val="22"/>
          <w:szCs w:val="22"/>
        </w:rPr>
      </w:pPr>
    </w:p>
    <w:p w14:paraId="6BF93491" w14:textId="77777777" w:rsidR="00AD5114" w:rsidRPr="00CA2E51" w:rsidRDefault="00AD5114" w:rsidP="00AD5114">
      <w:pPr>
        <w:rPr>
          <w:rFonts w:ascii="NewsGoth BT Roman" w:hAnsi="NewsGoth BT Roman" w:cs="Times New Roman"/>
          <w:sz w:val="22"/>
          <w:szCs w:val="22"/>
        </w:rPr>
      </w:pPr>
      <w:r w:rsidRPr="00AD5114">
        <w:rPr>
          <w:rFonts w:ascii="NewsGoth BT Roman" w:hAnsi="NewsGoth BT Roman" w:cs="Times New Roman"/>
          <w:b/>
          <w:sz w:val="22"/>
          <w:szCs w:val="22"/>
        </w:rPr>
        <w:t>LACK OF EXPERTISE</w:t>
      </w:r>
      <w:r>
        <w:rPr>
          <w:rFonts w:ascii="NewsGoth BT Roman" w:hAnsi="NewsGoth BT Roman" w:cs="Times New Roman"/>
          <w:sz w:val="22"/>
          <w:szCs w:val="22"/>
        </w:rPr>
        <w:br/>
      </w:r>
      <w:r w:rsidRPr="00CA2E51">
        <w:rPr>
          <w:rFonts w:ascii="NewsGoth BT Roman" w:hAnsi="NewsGoth BT Roman" w:cs="Times New Roman"/>
          <w:sz w:val="22"/>
          <w:szCs w:val="22"/>
        </w:rPr>
        <w:t>Some cited the lack of expertise at regulatory bodies as a persistent problem. While the public utilities commissions of New York and California have large staffs, most PUC staffs are very limited in both resources and time. As such, these more lean staffs primarily possess tactical, accounting expertise rather than the deep strategic skills needed</w:t>
      </w:r>
      <w:r w:rsidR="00A62C0F">
        <w:rPr>
          <w:rFonts w:ascii="NewsGoth BT Roman" w:hAnsi="NewsGoth BT Roman" w:cs="Times New Roman"/>
          <w:sz w:val="22"/>
          <w:szCs w:val="22"/>
        </w:rPr>
        <w:t xml:space="preserve"> </w:t>
      </w:r>
      <w:r w:rsidRPr="00CA2E51">
        <w:rPr>
          <w:rFonts w:ascii="NewsGoth BT Roman" w:hAnsi="NewsGoth BT Roman" w:cs="Times New Roman"/>
          <w:sz w:val="22"/>
          <w:szCs w:val="22"/>
        </w:rPr>
        <w:lastRenderedPageBreak/>
        <w:t>for grid architecture reform and/or knowledge of the significant capacities of DERs pro</w:t>
      </w:r>
      <w:r w:rsidR="006A0AAF">
        <w:rPr>
          <w:rFonts w:ascii="NewsGoth BT Roman" w:hAnsi="NewsGoth BT Roman" w:cs="Times New Roman"/>
          <w:sz w:val="22"/>
          <w:szCs w:val="22"/>
        </w:rPr>
        <w:t>vided by various stakeholders.</w:t>
      </w:r>
    </w:p>
    <w:p w14:paraId="52629F1A" w14:textId="77777777" w:rsidR="00AD5114" w:rsidRPr="00CA2E51" w:rsidRDefault="00AD5114" w:rsidP="00AD5114">
      <w:pPr>
        <w:rPr>
          <w:rFonts w:ascii="NewsGoth BT Roman" w:hAnsi="NewsGoth BT Roman" w:cs="Times New Roman"/>
          <w:sz w:val="22"/>
          <w:szCs w:val="22"/>
        </w:rPr>
      </w:pPr>
    </w:p>
    <w:p w14:paraId="2C7E8F2C"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One participant cited a lack a technical know-how in evaluating interconnection proposals from utilities, yet this view was not widely shared. Required skills identified by the group as needed by PUCs include energy modeling and data analytic expertise as the planning and operational models at the distribution level become increasingly complex and reliant upon sophisticated models. However, hiring new – and retaining existing – engineers and other technical experts is difficult given the lure of higher paying and (perceived to be) more exciting positions in technology firms. Put frankly, PUCs are unable to compete again firms like Google or Apple for expertise that is required for a 21</w:t>
      </w:r>
      <w:r w:rsidRPr="00CA2E51">
        <w:rPr>
          <w:rFonts w:ascii="NewsGoth BT Roman" w:hAnsi="NewsGoth BT Roman" w:cs="Times New Roman"/>
          <w:sz w:val="22"/>
          <w:szCs w:val="22"/>
          <w:vertAlign w:val="superscript"/>
        </w:rPr>
        <w:t>st</w:t>
      </w:r>
      <w:r w:rsidR="00931EF5">
        <w:rPr>
          <w:rFonts w:ascii="NewsGoth BT Roman" w:hAnsi="NewsGoth BT Roman" w:cs="Times New Roman"/>
          <w:sz w:val="22"/>
          <w:szCs w:val="22"/>
        </w:rPr>
        <w:t>-</w:t>
      </w:r>
      <w:r w:rsidRPr="00CA2E51">
        <w:rPr>
          <w:rFonts w:ascii="NewsGoth BT Roman" w:hAnsi="NewsGoth BT Roman" w:cs="Times New Roman"/>
          <w:sz w:val="22"/>
          <w:szCs w:val="22"/>
        </w:rPr>
        <w:t>century energy system. PUCs are routinely limited in the range of positions they can even hire for – given traditional civil service job descriptions available for PUCs – and the vast majority of PUCs are unable to hire outside consultants as an altern</w:t>
      </w:r>
      <w:r w:rsidR="006A0AAF">
        <w:rPr>
          <w:rFonts w:ascii="NewsGoth BT Roman" w:hAnsi="NewsGoth BT Roman" w:cs="Times New Roman"/>
          <w:sz w:val="22"/>
          <w:szCs w:val="22"/>
        </w:rPr>
        <w:t>ative (or complement) to staff.</w:t>
      </w:r>
    </w:p>
    <w:p w14:paraId="0E4765F3" w14:textId="77777777" w:rsidR="00AD5114" w:rsidRPr="00CA2E51" w:rsidRDefault="00AD5114" w:rsidP="006A0AAF">
      <w:pPr>
        <w:rPr>
          <w:rFonts w:ascii="NewsGoth BT Roman" w:hAnsi="NewsGoth BT Roman" w:cs="Times New Roman"/>
          <w:sz w:val="22"/>
          <w:szCs w:val="22"/>
        </w:rPr>
      </w:pPr>
    </w:p>
    <w:p w14:paraId="641EE262" w14:textId="77777777" w:rsidR="00AD5114" w:rsidRPr="00CA2E51" w:rsidRDefault="00AD5114" w:rsidP="00AD5114">
      <w:pPr>
        <w:rPr>
          <w:rFonts w:ascii="NewsGoth BT Roman" w:hAnsi="NewsGoth BT Roman" w:cs="Times New Roman"/>
          <w:sz w:val="22"/>
          <w:szCs w:val="22"/>
        </w:rPr>
      </w:pPr>
      <w:r w:rsidRPr="00CA2E51">
        <w:rPr>
          <w:rFonts w:ascii="NewsGoth BT Roman" w:hAnsi="NewsGoth BT Roman" w:cs="Times New Roman"/>
          <w:sz w:val="22"/>
          <w:szCs w:val="22"/>
        </w:rPr>
        <w:t xml:space="preserve">One participant cited another human-resource issue at regulatory bodies: Their hierarchical structures mean that some newly hired “25-year-olds are all over </w:t>
      </w:r>
      <w:r w:rsidR="00931EF5">
        <w:rPr>
          <w:rFonts w:ascii="NewsGoth BT Roman" w:hAnsi="NewsGoth BT Roman" w:cs="Times New Roman"/>
          <w:sz w:val="22"/>
          <w:szCs w:val="22"/>
        </w:rPr>
        <w:t>[</w:t>
      </w:r>
      <w:r w:rsidRPr="00CA2E51">
        <w:rPr>
          <w:rFonts w:ascii="NewsGoth BT Roman" w:hAnsi="NewsGoth BT Roman" w:cs="Times New Roman"/>
          <w:sz w:val="22"/>
          <w:szCs w:val="22"/>
        </w:rPr>
        <w:t>technical information and reform initiatives</w:t>
      </w:r>
      <w:r w:rsidR="00931EF5">
        <w:rPr>
          <w:rFonts w:ascii="NewsGoth BT Roman" w:hAnsi="NewsGoth BT Roman" w:cs="Times New Roman"/>
          <w:sz w:val="22"/>
          <w:szCs w:val="22"/>
        </w:rPr>
        <w:t>]</w:t>
      </w:r>
      <w:r w:rsidRPr="00CA2E51">
        <w:rPr>
          <w:rFonts w:ascii="NewsGoth BT Roman" w:hAnsi="NewsGoth BT Roman" w:cs="Times New Roman"/>
          <w:sz w:val="22"/>
          <w:szCs w:val="22"/>
        </w:rPr>
        <w:t xml:space="preserve">, but they’re buried” in the organization and are not used as effectively as they could be in helping </w:t>
      </w:r>
      <w:r w:rsidR="00931EF5">
        <w:rPr>
          <w:rFonts w:ascii="NewsGoth BT Roman" w:hAnsi="NewsGoth BT Roman" w:cs="Times New Roman"/>
          <w:sz w:val="22"/>
          <w:szCs w:val="22"/>
        </w:rPr>
        <w:t>c</w:t>
      </w:r>
      <w:r w:rsidRPr="00CA2E51">
        <w:rPr>
          <w:rFonts w:ascii="NewsGoth BT Roman" w:hAnsi="NewsGoth BT Roman" w:cs="Times New Roman"/>
          <w:sz w:val="22"/>
          <w:szCs w:val="22"/>
        </w:rPr>
        <w:t xml:space="preserve">ommissions embrace innovation. Participants suggested more use of experts from industry or the national labs to guide PUC staff and </w:t>
      </w:r>
      <w:r w:rsidR="00931EF5">
        <w:rPr>
          <w:rFonts w:ascii="NewsGoth BT Roman" w:hAnsi="NewsGoth BT Roman" w:cs="Times New Roman"/>
          <w:sz w:val="22"/>
          <w:szCs w:val="22"/>
        </w:rPr>
        <w:t>c</w:t>
      </w:r>
      <w:r w:rsidRPr="00CA2E51">
        <w:rPr>
          <w:rFonts w:ascii="NewsGoth BT Roman" w:hAnsi="NewsGoth BT Roman" w:cs="Times New Roman"/>
          <w:sz w:val="22"/>
          <w:szCs w:val="22"/>
        </w:rPr>
        <w:t xml:space="preserve">ommissioners in new technical areas. </w:t>
      </w:r>
      <w:r w:rsidR="001041B5">
        <w:rPr>
          <w:rFonts w:ascii="NewsGoth BT Roman" w:hAnsi="NewsGoth BT Roman" w:cs="Times New Roman"/>
          <w:sz w:val="22"/>
          <w:szCs w:val="22"/>
        </w:rPr>
        <w:t>H</w:t>
      </w:r>
      <w:r w:rsidRPr="00CA2E51">
        <w:rPr>
          <w:rFonts w:ascii="NewsGoth BT Roman" w:hAnsi="NewsGoth BT Roman" w:cs="Times New Roman"/>
          <w:sz w:val="22"/>
          <w:szCs w:val="22"/>
        </w:rPr>
        <w:t>owever, the U</w:t>
      </w:r>
      <w:r w:rsidR="00931EF5">
        <w:rPr>
          <w:rFonts w:ascii="NewsGoth BT Roman" w:hAnsi="NewsGoth BT Roman" w:cs="Times New Roman"/>
          <w:sz w:val="22"/>
          <w:szCs w:val="22"/>
        </w:rPr>
        <w:t>.</w:t>
      </w:r>
      <w:r w:rsidRPr="00CA2E51">
        <w:rPr>
          <w:rFonts w:ascii="NewsGoth BT Roman" w:hAnsi="NewsGoth BT Roman" w:cs="Times New Roman"/>
          <w:sz w:val="22"/>
          <w:szCs w:val="22"/>
        </w:rPr>
        <w:t>S</w:t>
      </w:r>
      <w:r w:rsidR="00931EF5">
        <w:rPr>
          <w:rFonts w:ascii="NewsGoth BT Roman" w:hAnsi="NewsGoth BT Roman" w:cs="Times New Roman"/>
          <w:sz w:val="22"/>
          <w:szCs w:val="22"/>
        </w:rPr>
        <w:t>.</w:t>
      </w:r>
      <w:r w:rsidRPr="00CA2E51">
        <w:rPr>
          <w:rFonts w:ascii="NewsGoth BT Roman" w:hAnsi="NewsGoth BT Roman" w:cs="Times New Roman"/>
          <w:sz w:val="22"/>
          <w:szCs w:val="22"/>
        </w:rPr>
        <w:t xml:space="preserve"> Department of Energy does not routinely provide funding for such support, nor are national lab employees necessarily equipped to develop solutions that fit the responsibilities of a PUC.</w:t>
      </w:r>
    </w:p>
    <w:p w14:paraId="0FDFB1E8" w14:textId="77777777" w:rsidR="00AD5114" w:rsidRPr="00CA2E51" w:rsidRDefault="00AD5114" w:rsidP="00AD5114">
      <w:pPr>
        <w:rPr>
          <w:rFonts w:ascii="NewsGoth BT Roman" w:hAnsi="NewsGoth BT Roman" w:cs="Times New Roman"/>
          <w:sz w:val="22"/>
          <w:szCs w:val="22"/>
        </w:rPr>
      </w:pPr>
    </w:p>
    <w:p w14:paraId="13B8BEC4" w14:textId="77777777" w:rsidR="00AD5114" w:rsidRPr="00CA2E51" w:rsidRDefault="00AD5114" w:rsidP="00AD5114">
      <w:pPr>
        <w:rPr>
          <w:rFonts w:ascii="NewsGoth BT Roman" w:hAnsi="NewsGoth BT Roman" w:cs="Times New Roman"/>
          <w:sz w:val="22"/>
          <w:szCs w:val="22"/>
        </w:rPr>
      </w:pPr>
      <w:r w:rsidRPr="0057264B">
        <w:rPr>
          <w:rFonts w:ascii="NewsGoth BT Roman" w:hAnsi="NewsGoth BT Roman" w:cs="Times New Roman"/>
          <w:b/>
          <w:sz w:val="22"/>
          <w:szCs w:val="22"/>
        </w:rPr>
        <w:t>NEED VENDO</w:t>
      </w:r>
      <w:r w:rsidR="0057264B" w:rsidRPr="0057264B">
        <w:rPr>
          <w:rFonts w:ascii="NewsGoth BT Roman" w:hAnsi="NewsGoth BT Roman" w:cs="Times New Roman"/>
          <w:b/>
          <w:sz w:val="22"/>
          <w:szCs w:val="22"/>
        </w:rPr>
        <w:t>R PARTICIPATION AT STATE PUCS</w:t>
      </w:r>
      <w:r w:rsidR="0057264B">
        <w:rPr>
          <w:rFonts w:ascii="NewsGoth BT Roman" w:hAnsi="NewsGoth BT Roman" w:cs="Times New Roman"/>
          <w:sz w:val="22"/>
          <w:szCs w:val="22"/>
        </w:rPr>
        <w:br/>
      </w:r>
      <w:r w:rsidRPr="00CA2E51">
        <w:rPr>
          <w:rFonts w:ascii="NewsGoth BT Roman" w:hAnsi="NewsGoth BT Roman" w:cs="Times New Roman"/>
          <w:sz w:val="22"/>
          <w:szCs w:val="22"/>
        </w:rPr>
        <w:t>State PUCs are on the front</w:t>
      </w:r>
      <w:r w:rsidR="00931EF5">
        <w:rPr>
          <w:rFonts w:ascii="NewsGoth BT Roman" w:hAnsi="NewsGoth BT Roman" w:cs="Times New Roman"/>
          <w:sz w:val="22"/>
          <w:szCs w:val="22"/>
        </w:rPr>
        <w:t xml:space="preserve"> </w:t>
      </w:r>
      <w:r w:rsidRPr="00CA2E51">
        <w:rPr>
          <w:rFonts w:ascii="NewsGoth BT Roman" w:hAnsi="NewsGoth BT Roman" w:cs="Times New Roman"/>
          <w:sz w:val="22"/>
          <w:szCs w:val="22"/>
        </w:rPr>
        <w:t>line of development of a 21</w:t>
      </w:r>
      <w:r w:rsidRPr="00CA2E51">
        <w:rPr>
          <w:rFonts w:ascii="NewsGoth BT Roman" w:hAnsi="NewsGoth BT Roman" w:cs="Times New Roman"/>
          <w:sz w:val="22"/>
          <w:szCs w:val="22"/>
          <w:vertAlign w:val="superscript"/>
        </w:rPr>
        <w:t>st</w:t>
      </w:r>
      <w:r w:rsidR="00931EF5">
        <w:rPr>
          <w:rFonts w:ascii="NewsGoth BT Roman" w:hAnsi="NewsGoth BT Roman" w:cs="Times New Roman"/>
          <w:sz w:val="22"/>
          <w:szCs w:val="22"/>
        </w:rPr>
        <w:t>-</w:t>
      </w:r>
      <w:r w:rsidRPr="00CA2E51">
        <w:rPr>
          <w:rFonts w:ascii="NewsGoth BT Roman" w:hAnsi="NewsGoth BT Roman" w:cs="Times New Roman"/>
          <w:sz w:val="22"/>
          <w:szCs w:val="22"/>
        </w:rPr>
        <w:t>century electricity system</w:t>
      </w:r>
      <w:r w:rsidR="00931EF5">
        <w:rPr>
          <w:rFonts w:ascii="NewsGoth BT Roman" w:hAnsi="NewsGoth BT Roman" w:cs="Times New Roman"/>
          <w:sz w:val="22"/>
          <w:szCs w:val="22"/>
        </w:rPr>
        <w:t>,</w:t>
      </w:r>
      <w:r w:rsidRPr="00CA2E51">
        <w:rPr>
          <w:rFonts w:ascii="NewsGoth BT Roman" w:hAnsi="NewsGoth BT Roman" w:cs="Times New Roman"/>
          <w:sz w:val="22"/>
          <w:szCs w:val="22"/>
        </w:rPr>
        <w:t xml:space="preserve"> and all participants at the workshop agreed that</w:t>
      </w:r>
      <w:r w:rsidR="00931EF5">
        <w:rPr>
          <w:rFonts w:ascii="NewsGoth BT Roman" w:hAnsi="NewsGoth BT Roman" w:cs="Times New Roman"/>
          <w:sz w:val="22"/>
          <w:szCs w:val="22"/>
        </w:rPr>
        <w:t>, to do a good job,</w:t>
      </w:r>
      <w:r w:rsidRPr="00CA2E51">
        <w:rPr>
          <w:rFonts w:ascii="NewsGoth BT Roman" w:hAnsi="NewsGoth BT Roman" w:cs="Times New Roman"/>
          <w:sz w:val="22"/>
          <w:szCs w:val="22"/>
        </w:rPr>
        <w:t xml:space="preserve"> voices beyond utilities and consumer advocates are needed in PUC deliberations.</w:t>
      </w:r>
      <w:r w:rsidR="006A0AAF">
        <w:rPr>
          <w:rFonts w:ascii="NewsGoth BT Roman" w:hAnsi="NewsGoth BT Roman" w:cs="Times New Roman"/>
          <w:sz w:val="22"/>
          <w:szCs w:val="22"/>
        </w:rPr>
        <w:t xml:space="preserve"> </w:t>
      </w:r>
      <w:r w:rsidRPr="00CA2E51">
        <w:rPr>
          <w:rFonts w:ascii="NewsGoth BT Roman" w:hAnsi="NewsGoth BT Roman" w:cs="Times New Roman"/>
          <w:sz w:val="22"/>
          <w:szCs w:val="22"/>
        </w:rPr>
        <w:t>However, third-party energy vendors face their own human</w:t>
      </w:r>
      <w:r w:rsidR="00931EF5">
        <w:rPr>
          <w:rFonts w:ascii="NewsGoth BT Roman" w:hAnsi="NewsGoth BT Roman" w:cs="Times New Roman"/>
          <w:sz w:val="22"/>
          <w:szCs w:val="22"/>
        </w:rPr>
        <w:t>-</w:t>
      </w:r>
      <w:r w:rsidRPr="00CA2E51">
        <w:rPr>
          <w:rFonts w:ascii="NewsGoth BT Roman" w:hAnsi="NewsGoth BT Roman" w:cs="Times New Roman"/>
          <w:sz w:val="22"/>
          <w:szCs w:val="22"/>
        </w:rPr>
        <w:t>resource limitations. Some of them are startups with few employees and no financial resources to participate in state-level regulatory activity.</w:t>
      </w:r>
      <w:r w:rsidR="006A0AAF">
        <w:rPr>
          <w:rFonts w:ascii="NewsGoth BT Roman" w:hAnsi="NewsGoth BT Roman" w:cs="Times New Roman"/>
          <w:sz w:val="22"/>
          <w:szCs w:val="22"/>
        </w:rPr>
        <w:t xml:space="preserve"> </w:t>
      </w:r>
      <w:r w:rsidRPr="00CA2E51">
        <w:rPr>
          <w:rFonts w:ascii="NewsGoth BT Roman" w:hAnsi="NewsGoth BT Roman" w:cs="Times New Roman"/>
          <w:sz w:val="22"/>
          <w:szCs w:val="22"/>
        </w:rPr>
        <w:t>In addition, for many, state PUC proceedings are byzantine and frustrating in their formal rules and processes, as well as the subjective and sometime political nature of deciding what is in the “public interest.” Taking part in the regulatory process is “cumbersome but that’s where the rubber hits the road.”</w:t>
      </w:r>
      <w:r w:rsidR="006A0AAF">
        <w:rPr>
          <w:rFonts w:ascii="NewsGoth BT Roman" w:hAnsi="NewsGoth BT Roman" w:cs="Times New Roman"/>
          <w:sz w:val="22"/>
          <w:szCs w:val="22"/>
        </w:rPr>
        <w:t xml:space="preserve"> </w:t>
      </w:r>
      <w:r w:rsidRPr="00CA2E51">
        <w:rPr>
          <w:rFonts w:ascii="NewsGoth BT Roman" w:hAnsi="NewsGoth BT Roman" w:cs="Times New Roman"/>
          <w:sz w:val="22"/>
          <w:szCs w:val="22"/>
        </w:rPr>
        <w:t xml:space="preserve">From the perspective of a smaller stakeholder, given that each PUC will set rules based on its own unique circumstances, it is daunting to participate across multiple states. Yet one participant noted that it is nevertheless crucial for even the smaller solution providers to participate in the state-level regulatory process </w:t>
      </w:r>
      <w:r w:rsidR="001041B5">
        <w:rPr>
          <w:rFonts w:ascii="NewsGoth BT Roman" w:hAnsi="NewsGoth BT Roman" w:cs="Times New Roman"/>
          <w:sz w:val="22"/>
          <w:szCs w:val="22"/>
        </w:rPr>
        <w:t>because</w:t>
      </w:r>
      <w:r w:rsidRPr="00CA2E51">
        <w:rPr>
          <w:rFonts w:ascii="NewsGoth BT Roman" w:hAnsi="NewsGoth BT Roman" w:cs="Times New Roman"/>
          <w:sz w:val="22"/>
          <w:szCs w:val="22"/>
        </w:rPr>
        <w:t xml:space="preserve"> “without more participation at the state level, decisions are bad</w:t>
      </w:r>
      <w:r w:rsidR="001041B5">
        <w:rPr>
          <w:rFonts w:ascii="NewsGoth BT Roman" w:hAnsi="NewsGoth BT Roman" w:cs="Times New Roman"/>
          <w:sz w:val="22"/>
          <w:szCs w:val="22"/>
        </w:rPr>
        <w:t>.</w:t>
      </w:r>
      <w:r w:rsidRPr="00CA2E51">
        <w:rPr>
          <w:rFonts w:ascii="NewsGoth BT Roman" w:hAnsi="NewsGoth BT Roman" w:cs="Times New Roman"/>
          <w:sz w:val="22"/>
          <w:szCs w:val="22"/>
        </w:rPr>
        <w:t xml:space="preserve">” </w:t>
      </w:r>
      <w:r w:rsidR="001041B5">
        <w:rPr>
          <w:rFonts w:ascii="NewsGoth BT Roman" w:hAnsi="NewsGoth BT Roman" w:cs="Times New Roman"/>
          <w:sz w:val="22"/>
          <w:szCs w:val="22"/>
        </w:rPr>
        <w:t>Another hurdle to participation is</w:t>
      </w:r>
      <w:r w:rsidR="001041B5" w:rsidRPr="00CA2E51">
        <w:rPr>
          <w:rFonts w:ascii="NewsGoth BT Roman" w:hAnsi="NewsGoth BT Roman" w:cs="Times New Roman"/>
          <w:sz w:val="22"/>
          <w:szCs w:val="22"/>
        </w:rPr>
        <w:t xml:space="preserve"> </w:t>
      </w:r>
      <w:r w:rsidRPr="00CA2E51">
        <w:rPr>
          <w:rFonts w:ascii="NewsGoth BT Roman" w:hAnsi="NewsGoth BT Roman" w:cs="Times New Roman"/>
          <w:sz w:val="22"/>
          <w:szCs w:val="22"/>
        </w:rPr>
        <w:t>that even small firms “have to invest $100,000 in an attorney and a witness.” At the same time, it was fully recognized that the deliberation process itself is in need of reinvention, given the high number of new stakeholders that have material interest in the outc</w:t>
      </w:r>
      <w:r w:rsidR="006A0AAF">
        <w:rPr>
          <w:rFonts w:ascii="NewsGoth BT Roman" w:hAnsi="NewsGoth BT Roman" w:cs="Times New Roman"/>
          <w:sz w:val="22"/>
          <w:szCs w:val="22"/>
        </w:rPr>
        <w:t>omes of regulatory proceedings.</w:t>
      </w:r>
    </w:p>
    <w:p w14:paraId="317B227F" w14:textId="77777777" w:rsidR="00AD5114" w:rsidRPr="00CA2E51" w:rsidRDefault="00AD5114" w:rsidP="00AD5114">
      <w:pPr>
        <w:rPr>
          <w:rFonts w:ascii="NewsGoth BT Roman" w:hAnsi="NewsGoth BT Roman" w:cs="Times New Roman"/>
          <w:sz w:val="22"/>
          <w:szCs w:val="22"/>
        </w:rPr>
      </w:pPr>
    </w:p>
    <w:p w14:paraId="5BE72BF1" w14:textId="77777777" w:rsidR="007201B2" w:rsidRPr="00A62C0F" w:rsidRDefault="0057264B" w:rsidP="00A62C0F">
      <w:pPr>
        <w:rPr>
          <w:rFonts w:ascii="NewsGoth BT Roman" w:hAnsi="NewsGoth BT Roman" w:cs="Times New Roman"/>
          <w:sz w:val="22"/>
          <w:szCs w:val="22"/>
        </w:rPr>
      </w:pPr>
      <w:r w:rsidRPr="0057264B">
        <w:rPr>
          <w:rFonts w:ascii="NewsGoth BT Roman" w:hAnsi="NewsGoth BT Roman" w:cs="Times New Roman"/>
          <w:b/>
          <w:sz w:val="22"/>
          <w:szCs w:val="22"/>
        </w:rPr>
        <w:t>OTHER STATES DIFFER</w:t>
      </w:r>
      <w:r>
        <w:rPr>
          <w:rFonts w:ascii="NewsGoth BT Roman" w:hAnsi="NewsGoth BT Roman" w:cs="Times New Roman"/>
          <w:sz w:val="22"/>
          <w:szCs w:val="22"/>
        </w:rPr>
        <w:br/>
      </w:r>
      <w:r w:rsidR="00AD5114" w:rsidRPr="00CA2E51">
        <w:rPr>
          <w:rFonts w:ascii="NewsGoth BT Roman" w:hAnsi="NewsGoth BT Roman" w:cs="Times New Roman"/>
          <w:sz w:val="22"/>
          <w:szCs w:val="22"/>
        </w:rPr>
        <w:t>Participants agreed that lessons from New York’s experience might be difficult to apply to other states, which have widely varying priorities and degrees of political appetite for reform. States also vary in the amount of staff resources they are able or willing to devote to reform. Even in New York, for example, “only a handful” of regulatory staff is working on reform matters, said one participant.</w:t>
      </w:r>
      <w:r w:rsidR="006A0AAF">
        <w:rPr>
          <w:rFonts w:ascii="NewsGoth BT Roman" w:hAnsi="NewsGoth BT Roman" w:cs="Times New Roman"/>
          <w:sz w:val="22"/>
          <w:szCs w:val="22"/>
        </w:rPr>
        <w:t xml:space="preserve"> </w:t>
      </w:r>
      <w:r w:rsidR="00AD5114" w:rsidRPr="00CA2E51">
        <w:rPr>
          <w:rFonts w:ascii="NewsGoth BT Roman" w:hAnsi="NewsGoth BT Roman" w:cs="Times New Roman"/>
          <w:sz w:val="22"/>
          <w:szCs w:val="22"/>
        </w:rPr>
        <w:t>Regardless, for the regulator, “ideally you want to set policy, get the incentives right, and then let the stakeholders” work out the details, said one participant. This, of course, will be subject</w:t>
      </w:r>
      <w:r>
        <w:rPr>
          <w:rFonts w:ascii="NewsGoth BT Roman" w:hAnsi="NewsGoth BT Roman" w:cs="Times New Roman"/>
          <w:sz w:val="22"/>
          <w:szCs w:val="22"/>
        </w:rPr>
        <w:t xml:space="preserve"> to local conditions. However, </w:t>
      </w:r>
      <w:r w:rsidR="00AD5114" w:rsidRPr="00CA2E51">
        <w:rPr>
          <w:rFonts w:ascii="NewsGoth BT Roman" w:hAnsi="NewsGoth BT Roman" w:cs="Times New Roman"/>
          <w:sz w:val="22"/>
          <w:szCs w:val="22"/>
        </w:rPr>
        <w:t>there was common agreement that PUC staff alone do not have the requisite capacity and knowledge, and that each state must find ways to involve the appropriate mix of stakeholders in collaborative efforts if that state seeks grid modernization</w:t>
      </w:r>
      <w:r w:rsidR="00A62C0F">
        <w:rPr>
          <w:rFonts w:ascii="NewsGoth BT Roman" w:hAnsi="NewsGoth BT Roman" w:cs="Times New Roman"/>
          <w:sz w:val="22"/>
          <w:szCs w:val="22"/>
        </w:rPr>
        <w:t>.</w:t>
      </w:r>
    </w:p>
    <w:sectPr w:rsidR="007201B2" w:rsidRPr="00A62C0F" w:rsidSect="00455F08">
      <w:headerReference w:type="even" r:id="rId9"/>
      <w:headerReference w:type="default" r:id="rId10"/>
      <w:footerReference w:type="default" r:id="rId11"/>
      <w:headerReference w:type="first" r:id="rId12"/>
      <w:footerReference w:type="first" r:id="rId13"/>
      <w:pgSz w:w="12240" w:h="15840"/>
      <w:pgMar w:top="1267" w:right="720" w:bottom="1440" w:left="720" w:header="720" w:footer="36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396774" w15:done="0"/>
  <w15:commentEx w15:paraId="0C42B8A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A2578" w14:textId="77777777" w:rsidR="00C62F0A" w:rsidRDefault="00C62F0A" w:rsidP="00260C10">
      <w:r>
        <w:separator/>
      </w:r>
    </w:p>
  </w:endnote>
  <w:endnote w:type="continuationSeparator" w:id="0">
    <w:p w14:paraId="074FB173" w14:textId="77777777" w:rsidR="00C62F0A" w:rsidRDefault="00C62F0A" w:rsidP="0026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News Gothic Std">
    <w:panose1 w:val="020B0506020203020204"/>
    <w:charset w:val="00"/>
    <w:family w:val="auto"/>
    <w:pitch w:val="variable"/>
    <w:sig w:usb0="800000AF" w:usb1="4000204A" w:usb2="00000000" w:usb3="00000000" w:csb0="00000001" w:csb1="00000000"/>
  </w:font>
  <w:font w:name="NewsGoth BT Roman">
    <w:panose1 w:val="020B0503020203020204"/>
    <w:charset w:val="00"/>
    <w:family w:val="auto"/>
    <w:pitch w:val="variable"/>
    <w:sig w:usb0="800000AF" w:usb1="1000204A" w:usb2="00000000" w:usb3="00000000" w:csb0="00000011" w:csb1="00000000"/>
  </w:font>
  <w:font w:name="NewsGoth Lt BT Light">
    <w:panose1 w:val="020B0406020203020204"/>
    <w:charset w:val="00"/>
    <w:family w:val="auto"/>
    <w:pitch w:val="variable"/>
    <w:sig w:usb0="800000AF" w:usb1="1000204A" w:usb2="00000000" w:usb3="00000000" w:csb0="00000011" w:csb1="00000000"/>
  </w:font>
  <w:font w:name="Arial">
    <w:panose1 w:val="020B0604020202020204"/>
    <w:charset w:val="00"/>
    <w:family w:val="auto"/>
    <w:pitch w:val="variable"/>
    <w:sig w:usb0="E0002AFF" w:usb1="C0007843" w:usb2="00000009" w:usb3="00000000" w:csb0="000001FF" w:csb1="00000000"/>
  </w:font>
  <w:font w:name="HGP創英角ｺﾞｼｯｸUB">
    <w:charset w:val="80"/>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68F0C2" w14:textId="77777777" w:rsidR="00C62F0A" w:rsidRDefault="00C62F0A" w:rsidP="00455F08">
    <w:pPr>
      <w:pStyle w:val="Footer"/>
      <w:tabs>
        <w:tab w:val="clear" w:pos="4320"/>
        <w:tab w:val="clear" w:pos="8640"/>
        <w:tab w:val="left" w:pos="1860"/>
      </w:tabs>
    </w:pPr>
    <w:r>
      <w:rPr>
        <w:noProof/>
      </w:rPr>
      <w:drawing>
        <wp:inline distT="0" distB="0" distL="0" distR="0" wp14:anchorId="487A2492" wp14:editId="10D9D387">
          <wp:extent cx="4057830" cy="58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B_SUSTAINABLE_ENERGY_INITIATIVE_H_2C_CMYK.eps"/>
                  <pic:cNvPicPr/>
                </pic:nvPicPr>
                <pic:blipFill>
                  <a:blip r:embed="rId1">
                    <a:extLst>
                      <a:ext uri="{28A0092B-C50C-407E-A947-70E740481C1C}">
                        <a14:useLocalDpi xmlns:a14="http://schemas.microsoft.com/office/drawing/2010/main" val="0"/>
                      </a:ext>
                    </a:extLst>
                  </a:blip>
                  <a:stretch>
                    <a:fillRect/>
                  </a:stretch>
                </pic:blipFill>
                <pic:spPr>
                  <a:xfrm>
                    <a:off x="0" y="0"/>
                    <a:ext cx="4473077" cy="64678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0316B1" w14:textId="77777777" w:rsidR="00C62F0A" w:rsidRDefault="00C62F0A">
    <w:pPr>
      <w:pStyle w:val="Footer"/>
    </w:pPr>
    <w:r>
      <w:rPr>
        <w:noProof/>
      </w:rPr>
      <w:drawing>
        <wp:inline distT="0" distB="0" distL="0" distR="0" wp14:anchorId="0F949765" wp14:editId="5280BDC1">
          <wp:extent cx="4057830" cy="58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B_SUSTAINABLE_ENERGY_INITIATIVE_H_2C_CMYK.eps"/>
                  <pic:cNvPicPr/>
                </pic:nvPicPr>
                <pic:blipFill>
                  <a:blip r:embed="rId1">
                    <a:extLst>
                      <a:ext uri="{28A0092B-C50C-407E-A947-70E740481C1C}">
                        <a14:useLocalDpi xmlns:a14="http://schemas.microsoft.com/office/drawing/2010/main" val="0"/>
                      </a:ext>
                    </a:extLst>
                  </a:blip>
                  <a:stretch>
                    <a:fillRect/>
                  </a:stretch>
                </pic:blipFill>
                <pic:spPr>
                  <a:xfrm>
                    <a:off x="0" y="0"/>
                    <a:ext cx="4473077" cy="64678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D932B" w14:textId="77777777" w:rsidR="00C62F0A" w:rsidRDefault="00C62F0A" w:rsidP="00260C10">
      <w:r>
        <w:separator/>
      </w:r>
    </w:p>
  </w:footnote>
  <w:footnote w:type="continuationSeparator" w:id="0">
    <w:p w14:paraId="2DCFAC18" w14:textId="77777777" w:rsidR="00C62F0A" w:rsidRDefault="00C62F0A" w:rsidP="00260C10">
      <w:r>
        <w:continuationSeparator/>
      </w:r>
    </w:p>
  </w:footnote>
  <w:footnote w:id="1">
    <w:p w14:paraId="2FFC7A91" w14:textId="77777777" w:rsidR="00C62F0A" w:rsidRPr="00842EA9" w:rsidRDefault="00C62F0A" w:rsidP="00AD5114">
      <w:pPr>
        <w:pStyle w:val="FootnoteText"/>
        <w:rPr>
          <w:rFonts w:ascii="NewsGoth BT Roman" w:hAnsi="NewsGoth BT Roman"/>
        </w:rPr>
      </w:pPr>
      <w:r w:rsidRPr="00842EA9">
        <w:rPr>
          <w:rStyle w:val="FootnoteReference"/>
          <w:rFonts w:ascii="NewsGoth BT Roman" w:hAnsi="NewsGoth BT Roman"/>
        </w:rPr>
        <w:footnoteRef/>
      </w:r>
      <w:r w:rsidRPr="00842EA9">
        <w:rPr>
          <w:rFonts w:ascii="NewsGoth BT Roman" w:hAnsi="NewsGoth BT Roman"/>
        </w:rPr>
        <w:t xml:space="preserve"> </w:t>
      </w:r>
      <w:r w:rsidRPr="00842EA9">
        <w:rPr>
          <w:rFonts w:ascii="NewsGoth BT Roman" w:hAnsi="NewsGoth BT Roman"/>
          <w:sz w:val="20"/>
        </w:rPr>
        <w:t>The majority of DERs are owned and/or op</w:t>
      </w:r>
      <w:bookmarkStart w:id="0" w:name="_GoBack"/>
      <w:bookmarkEnd w:id="0"/>
      <w:r w:rsidRPr="00842EA9">
        <w:rPr>
          <w:rFonts w:ascii="NewsGoth BT Roman" w:hAnsi="NewsGoth BT Roman"/>
          <w:sz w:val="20"/>
        </w:rPr>
        <w:t>erated by so-called third-party solution providers.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6A89E7" w14:textId="77777777" w:rsidR="00C62F0A" w:rsidRDefault="00842EA9">
    <w:pPr>
      <w:pStyle w:val="Header"/>
    </w:pPr>
    <w:r>
      <w:rPr>
        <w:noProof/>
      </w:rPr>
      <w:pict w14:anchorId="7C50F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8.1pt;height:799.9pt;z-index:-251658752;mso-wrap-edited:f;mso-position-horizontal:center;mso-position-horizontal-relative:margin;mso-position-vertical:center;mso-position-vertical-relative:margin" wrapcoords="19057 931 1284 1113 1284 1882 1415 1882 19057 1902 19057 2226 2280 2348 1310 2348 1310 3117 5609 3178 19057 3198 19057 3421 19240 3502 19057 3522 19057 3765 10800 3846 19109 4170 19083 4190 19162 4494 19057 4656 19004 4838 19162 5141 19398 5283 19424 5283 19974 5283 20000 5283 20289 5121 20367 4858 20341 4676 20236 4494 20289 4170 20341 3866 20210 3826 20315 3664 20315 1963 20263 1923 20158 1882 20341 1740 20341 1012 20210 951 19712 931 19057 931">
          <v:imagedata r:id="rId1" o:title="CIRCLE Events Summary 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D7C9F5" w14:textId="77777777" w:rsidR="00C62F0A" w:rsidRPr="00455F08" w:rsidRDefault="00C62F0A">
    <w:pPr>
      <w:pStyle w:val="Header"/>
      <w:rPr>
        <w:rFonts w:ascii="NewsGoth Lt BT Light" w:hAnsi="NewsGoth Lt BT Light"/>
      </w:rPr>
    </w:pPr>
    <w:r w:rsidRPr="00455F08">
      <w:rPr>
        <w:rFonts w:ascii="NewsGoth Lt BT Light" w:hAnsi="NewsGoth Lt BT Light"/>
      </w:rPr>
      <w:t xml:space="preserve">EVENT SUMMARY </w:t>
    </w:r>
    <w:r>
      <w:rPr>
        <w:rFonts w:ascii="NewsGoth Lt BT Light" w:hAnsi="NewsGoth Lt BT Light"/>
      </w:rPr>
      <w:sym w:font="Symbol" w:char="F0BD"/>
    </w:r>
    <w:r w:rsidRPr="00455F08">
      <w:rPr>
        <w:rFonts w:ascii="NewsGoth Lt BT Light" w:hAnsi="NewsGoth Lt BT Light"/>
      </w:rPr>
      <w:t xml:space="preserve"> </w:t>
    </w:r>
    <w:r>
      <w:rPr>
        <w:rFonts w:ascii="NewsGoth Lt BT Light" w:hAnsi="NewsGoth Lt BT Light"/>
        <w:color w:val="C00000"/>
      </w:rPr>
      <w:t>OCTOBER 26</w:t>
    </w:r>
    <w:r w:rsidRPr="00455F08">
      <w:rPr>
        <w:rFonts w:ascii="NewsGoth Lt BT Light" w:hAnsi="NewsGoth Lt BT Light"/>
        <w:color w:val="C00000"/>
      </w:rPr>
      <w:t>, 2016</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44D96E" w14:textId="77777777" w:rsidR="00C62F0A" w:rsidRPr="00A42197" w:rsidRDefault="00C62F0A" w:rsidP="00A42197">
    <w:pPr>
      <w:pStyle w:val="Header"/>
      <w:spacing w:after="360"/>
      <w:rPr>
        <w:rFonts w:ascii="NewsGoth Lt BT Light" w:hAnsi="NewsGoth Lt BT Light"/>
        <w:sz w:val="72"/>
        <w:szCs w:val="72"/>
      </w:rPr>
    </w:pPr>
    <w:r w:rsidRPr="00A42197">
      <w:rPr>
        <w:rFonts w:ascii="NewsGoth Lt BT Light" w:hAnsi="NewsGoth Lt BT Light"/>
        <w:sz w:val="72"/>
        <w:szCs w:val="72"/>
      </w:rPr>
      <w:t>EVENT SUMMARY</w:t>
    </w:r>
    <w:r>
      <w:rPr>
        <w:rFonts w:ascii="NewsGoth Lt BT Light" w:hAnsi="NewsGoth Lt BT Light"/>
        <w:sz w:val="72"/>
        <w:szCs w:val="72"/>
      </w:rPr>
      <w:br/>
    </w:r>
    <w:r>
      <w:rPr>
        <w:rFonts w:ascii="NewsGoth Lt BT Light" w:hAnsi="NewsGoth Lt BT Light"/>
        <w:color w:val="C00000"/>
        <w:sz w:val="60"/>
        <w:szCs w:val="60"/>
      </w:rPr>
      <w:t>OCTOBER 26</w:t>
    </w:r>
    <w:r w:rsidRPr="00A42197">
      <w:rPr>
        <w:rFonts w:ascii="NewsGoth Lt BT Light" w:hAnsi="NewsGoth Lt BT Light"/>
        <w:color w:val="C00000"/>
        <w:sz w:val="60"/>
        <w:szCs w:val="60"/>
      </w:rPr>
      <w:t>,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349A"/>
    <w:multiLevelType w:val="hybridMultilevel"/>
    <w:tmpl w:val="88DE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AD42B4"/>
    <w:multiLevelType w:val="hybridMultilevel"/>
    <w:tmpl w:val="5B02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857F6C"/>
    <w:multiLevelType w:val="hybridMultilevel"/>
    <w:tmpl w:val="2DB2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F61CD3"/>
    <w:multiLevelType w:val="hybridMultilevel"/>
    <w:tmpl w:val="EF70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94223C"/>
    <w:multiLevelType w:val="multilevel"/>
    <w:tmpl w:val="EF701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C10"/>
    <w:rsid w:val="00017FC8"/>
    <w:rsid w:val="00040A87"/>
    <w:rsid w:val="000800C8"/>
    <w:rsid w:val="000B77B4"/>
    <w:rsid w:val="000C4106"/>
    <w:rsid w:val="001041B5"/>
    <w:rsid w:val="00232E5A"/>
    <w:rsid w:val="00244C97"/>
    <w:rsid w:val="00260C10"/>
    <w:rsid w:val="002F4DD0"/>
    <w:rsid w:val="00450193"/>
    <w:rsid w:val="00455F08"/>
    <w:rsid w:val="00471DFC"/>
    <w:rsid w:val="00495882"/>
    <w:rsid w:val="004F7BAB"/>
    <w:rsid w:val="0057264B"/>
    <w:rsid w:val="00587B2F"/>
    <w:rsid w:val="006A0AAF"/>
    <w:rsid w:val="007201B2"/>
    <w:rsid w:val="00842EA9"/>
    <w:rsid w:val="00931EF5"/>
    <w:rsid w:val="00967A98"/>
    <w:rsid w:val="00984BC9"/>
    <w:rsid w:val="009C0AC9"/>
    <w:rsid w:val="009C64DB"/>
    <w:rsid w:val="00A42197"/>
    <w:rsid w:val="00A62C0F"/>
    <w:rsid w:val="00A85DD7"/>
    <w:rsid w:val="00AD5114"/>
    <w:rsid w:val="00B10249"/>
    <w:rsid w:val="00B44AC1"/>
    <w:rsid w:val="00B95400"/>
    <w:rsid w:val="00C62F0A"/>
    <w:rsid w:val="00E0756F"/>
    <w:rsid w:val="00F569D0"/>
    <w:rsid w:val="00F67AA2"/>
    <w:rsid w:val="00FA226E"/>
    <w:rsid w:val="00FB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5F1A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C10"/>
    <w:pPr>
      <w:tabs>
        <w:tab w:val="center" w:pos="4320"/>
        <w:tab w:val="right" w:pos="8640"/>
      </w:tabs>
    </w:pPr>
  </w:style>
  <w:style w:type="character" w:customStyle="1" w:styleId="HeaderChar">
    <w:name w:val="Header Char"/>
    <w:basedOn w:val="DefaultParagraphFont"/>
    <w:link w:val="Header"/>
    <w:uiPriority w:val="99"/>
    <w:rsid w:val="00260C10"/>
  </w:style>
  <w:style w:type="paragraph" w:styleId="Footer">
    <w:name w:val="footer"/>
    <w:basedOn w:val="Normal"/>
    <w:link w:val="FooterChar"/>
    <w:uiPriority w:val="99"/>
    <w:unhideWhenUsed/>
    <w:rsid w:val="00260C10"/>
    <w:pPr>
      <w:tabs>
        <w:tab w:val="center" w:pos="4320"/>
        <w:tab w:val="right" w:pos="8640"/>
      </w:tabs>
    </w:pPr>
  </w:style>
  <w:style w:type="character" w:customStyle="1" w:styleId="FooterChar">
    <w:name w:val="Footer Char"/>
    <w:basedOn w:val="DefaultParagraphFont"/>
    <w:link w:val="Footer"/>
    <w:uiPriority w:val="99"/>
    <w:rsid w:val="00260C10"/>
  </w:style>
  <w:style w:type="paragraph" w:styleId="BalloonText">
    <w:name w:val="Balloon Text"/>
    <w:basedOn w:val="Normal"/>
    <w:link w:val="BalloonTextChar"/>
    <w:uiPriority w:val="99"/>
    <w:semiHidden/>
    <w:unhideWhenUsed/>
    <w:rsid w:val="00FB49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919"/>
    <w:rPr>
      <w:rFonts w:ascii="Lucida Grande" w:hAnsi="Lucida Grande" w:cs="Lucida Grande"/>
      <w:sz w:val="18"/>
      <w:szCs w:val="18"/>
    </w:rPr>
  </w:style>
  <w:style w:type="paragraph" w:styleId="ListParagraph">
    <w:name w:val="List Paragraph"/>
    <w:basedOn w:val="Normal"/>
    <w:uiPriority w:val="34"/>
    <w:qFormat/>
    <w:rsid w:val="00017FC8"/>
    <w:pPr>
      <w:ind w:left="720"/>
      <w:contextualSpacing/>
    </w:pPr>
  </w:style>
  <w:style w:type="character" w:styleId="CommentReference">
    <w:name w:val="annotation reference"/>
    <w:basedOn w:val="DefaultParagraphFont"/>
    <w:uiPriority w:val="99"/>
    <w:semiHidden/>
    <w:unhideWhenUsed/>
    <w:rsid w:val="00017FC8"/>
    <w:rPr>
      <w:sz w:val="18"/>
      <w:szCs w:val="18"/>
    </w:rPr>
  </w:style>
  <w:style w:type="paragraph" w:styleId="CommentText">
    <w:name w:val="annotation text"/>
    <w:basedOn w:val="Normal"/>
    <w:link w:val="CommentTextChar"/>
    <w:uiPriority w:val="99"/>
    <w:semiHidden/>
    <w:unhideWhenUsed/>
    <w:rsid w:val="00017FC8"/>
    <w:rPr>
      <w:rFonts w:ascii="Cambria" w:eastAsia="Cambria" w:hAnsi="Cambria" w:cs="Times New Roman"/>
    </w:rPr>
  </w:style>
  <w:style w:type="character" w:customStyle="1" w:styleId="CommentTextChar">
    <w:name w:val="Comment Text Char"/>
    <w:basedOn w:val="DefaultParagraphFont"/>
    <w:link w:val="CommentText"/>
    <w:uiPriority w:val="99"/>
    <w:semiHidden/>
    <w:rsid w:val="00017FC8"/>
    <w:rPr>
      <w:rFonts w:ascii="Cambria" w:eastAsia="Cambria" w:hAnsi="Cambria" w:cs="Times New Roman"/>
    </w:rPr>
  </w:style>
  <w:style w:type="paragraph" w:styleId="Revision">
    <w:name w:val="Revision"/>
    <w:hidden/>
    <w:uiPriority w:val="99"/>
    <w:semiHidden/>
    <w:rsid w:val="00017FC8"/>
  </w:style>
  <w:style w:type="paragraph" w:styleId="FootnoteText">
    <w:name w:val="footnote text"/>
    <w:basedOn w:val="Normal"/>
    <w:link w:val="FootnoteTextChar"/>
    <w:uiPriority w:val="99"/>
    <w:unhideWhenUsed/>
    <w:rsid w:val="00AD5114"/>
    <w:rPr>
      <w:rFonts w:eastAsiaTheme="minorHAnsi"/>
    </w:rPr>
  </w:style>
  <w:style w:type="character" w:customStyle="1" w:styleId="FootnoteTextChar">
    <w:name w:val="Footnote Text Char"/>
    <w:basedOn w:val="DefaultParagraphFont"/>
    <w:link w:val="FootnoteText"/>
    <w:uiPriority w:val="99"/>
    <w:rsid w:val="00AD5114"/>
    <w:rPr>
      <w:rFonts w:eastAsiaTheme="minorHAnsi"/>
    </w:rPr>
  </w:style>
  <w:style w:type="character" w:styleId="FootnoteReference">
    <w:name w:val="footnote reference"/>
    <w:basedOn w:val="DefaultParagraphFont"/>
    <w:uiPriority w:val="99"/>
    <w:unhideWhenUsed/>
    <w:rsid w:val="00AD5114"/>
    <w:rPr>
      <w:vertAlign w:val="superscript"/>
    </w:rPr>
  </w:style>
  <w:style w:type="paragraph" w:styleId="CommentSubject">
    <w:name w:val="annotation subject"/>
    <w:basedOn w:val="CommentText"/>
    <w:next w:val="CommentText"/>
    <w:link w:val="CommentSubjectChar"/>
    <w:uiPriority w:val="99"/>
    <w:semiHidden/>
    <w:unhideWhenUsed/>
    <w:rsid w:val="001041B5"/>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1041B5"/>
    <w:rPr>
      <w:rFonts w:ascii="Cambria" w:eastAsia="Cambria" w:hAnsi="Cambria"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C10"/>
    <w:pPr>
      <w:tabs>
        <w:tab w:val="center" w:pos="4320"/>
        <w:tab w:val="right" w:pos="8640"/>
      </w:tabs>
    </w:pPr>
  </w:style>
  <w:style w:type="character" w:customStyle="1" w:styleId="HeaderChar">
    <w:name w:val="Header Char"/>
    <w:basedOn w:val="DefaultParagraphFont"/>
    <w:link w:val="Header"/>
    <w:uiPriority w:val="99"/>
    <w:rsid w:val="00260C10"/>
  </w:style>
  <w:style w:type="paragraph" w:styleId="Footer">
    <w:name w:val="footer"/>
    <w:basedOn w:val="Normal"/>
    <w:link w:val="FooterChar"/>
    <w:uiPriority w:val="99"/>
    <w:unhideWhenUsed/>
    <w:rsid w:val="00260C10"/>
    <w:pPr>
      <w:tabs>
        <w:tab w:val="center" w:pos="4320"/>
        <w:tab w:val="right" w:pos="8640"/>
      </w:tabs>
    </w:pPr>
  </w:style>
  <w:style w:type="character" w:customStyle="1" w:styleId="FooterChar">
    <w:name w:val="Footer Char"/>
    <w:basedOn w:val="DefaultParagraphFont"/>
    <w:link w:val="Footer"/>
    <w:uiPriority w:val="99"/>
    <w:rsid w:val="00260C10"/>
  </w:style>
  <w:style w:type="paragraph" w:styleId="BalloonText">
    <w:name w:val="Balloon Text"/>
    <w:basedOn w:val="Normal"/>
    <w:link w:val="BalloonTextChar"/>
    <w:uiPriority w:val="99"/>
    <w:semiHidden/>
    <w:unhideWhenUsed/>
    <w:rsid w:val="00FB49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919"/>
    <w:rPr>
      <w:rFonts w:ascii="Lucida Grande" w:hAnsi="Lucida Grande" w:cs="Lucida Grande"/>
      <w:sz w:val="18"/>
      <w:szCs w:val="18"/>
    </w:rPr>
  </w:style>
  <w:style w:type="paragraph" w:styleId="ListParagraph">
    <w:name w:val="List Paragraph"/>
    <w:basedOn w:val="Normal"/>
    <w:uiPriority w:val="34"/>
    <w:qFormat/>
    <w:rsid w:val="00017FC8"/>
    <w:pPr>
      <w:ind w:left="720"/>
      <w:contextualSpacing/>
    </w:pPr>
  </w:style>
  <w:style w:type="character" w:styleId="CommentReference">
    <w:name w:val="annotation reference"/>
    <w:basedOn w:val="DefaultParagraphFont"/>
    <w:uiPriority w:val="99"/>
    <w:semiHidden/>
    <w:unhideWhenUsed/>
    <w:rsid w:val="00017FC8"/>
    <w:rPr>
      <w:sz w:val="18"/>
      <w:szCs w:val="18"/>
    </w:rPr>
  </w:style>
  <w:style w:type="paragraph" w:styleId="CommentText">
    <w:name w:val="annotation text"/>
    <w:basedOn w:val="Normal"/>
    <w:link w:val="CommentTextChar"/>
    <w:uiPriority w:val="99"/>
    <w:semiHidden/>
    <w:unhideWhenUsed/>
    <w:rsid w:val="00017FC8"/>
    <w:rPr>
      <w:rFonts w:ascii="Cambria" w:eastAsia="Cambria" w:hAnsi="Cambria" w:cs="Times New Roman"/>
    </w:rPr>
  </w:style>
  <w:style w:type="character" w:customStyle="1" w:styleId="CommentTextChar">
    <w:name w:val="Comment Text Char"/>
    <w:basedOn w:val="DefaultParagraphFont"/>
    <w:link w:val="CommentText"/>
    <w:uiPriority w:val="99"/>
    <w:semiHidden/>
    <w:rsid w:val="00017FC8"/>
    <w:rPr>
      <w:rFonts w:ascii="Cambria" w:eastAsia="Cambria" w:hAnsi="Cambria" w:cs="Times New Roman"/>
    </w:rPr>
  </w:style>
  <w:style w:type="paragraph" w:styleId="Revision">
    <w:name w:val="Revision"/>
    <w:hidden/>
    <w:uiPriority w:val="99"/>
    <w:semiHidden/>
    <w:rsid w:val="00017FC8"/>
  </w:style>
  <w:style w:type="paragraph" w:styleId="FootnoteText">
    <w:name w:val="footnote text"/>
    <w:basedOn w:val="Normal"/>
    <w:link w:val="FootnoteTextChar"/>
    <w:uiPriority w:val="99"/>
    <w:unhideWhenUsed/>
    <w:rsid w:val="00AD5114"/>
    <w:rPr>
      <w:rFonts w:eastAsiaTheme="minorHAnsi"/>
    </w:rPr>
  </w:style>
  <w:style w:type="character" w:customStyle="1" w:styleId="FootnoteTextChar">
    <w:name w:val="Footnote Text Char"/>
    <w:basedOn w:val="DefaultParagraphFont"/>
    <w:link w:val="FootnoteText"/>
    <w:uiPriority w:val="99"/>
    <w:rsid w:val="00AD5114"/>
    <w:rPr>
      <w:rFonts w:eastAsiaTheme="minorHAnsi"/>
    </w:rPr>
  </w:style>
  <w:style w:type="character" w:styleId="FootnoteReference">
    <w:name w:val="footnote reference"/>
    <w:basedOn w:val="DefaultParagraphFont"/>
    <w:uiPriority w:val="99"/>
    <w:unhideWhenUsed/>
    <w:rsid w:val="00AD5114"/>
    <w:rPr>
      <w:vertAlign w:val="superscript"/>
    </w:rPr>
  </w:style>
  <w:style w:type="paragraph" w:styleId="CommentSubject">
    <w:name w:val="annotation subject"/>
    <w:basedOn w:val="CommentText"/>
    <w:next w:val="CommentText"/>
    <w:link w:val="CommentSubjectChar"/>
    <w:uiPriority w:val="99"/>
    <w:semiHidden/>
    <w:unhideWhenUsed/>
    <w:rsid w:val="001041B5"/>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1041B5"/>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ABF6E-3A4F-A147-9756-22B07D64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1783</Words>
  <Characters>10168</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Stanford Graduate School of Business</Company>
  <LinksUpToDate>false</LinksUpToDate>
  <CharactersWithSpaces>11928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Lau</dc:creator>
  <cp:keywords/>
  <dc:description/>
  <cp:lastModifiedBy>Nicole Evans</cp:lastModifiedBy>
  <cp:revision>3</cp:revision>
  <cp:lastPrinted>2016-11-17T01:36:00Z</cp:lastPrinted>
  <dcterms:created xsi:type="dcterms:W3CDTF">2016-11-18T20:21:00Z</dcterms:created>
  <dcterms:modified xsi:type="dcterms:W3CDTF">2016-11-18T20:31:00Z</dcterms:modified>
</cp:coreProperties>
</file>